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eastAsia="宋体"/>
          <w:b w:val="0"/>
          <w:bCs w:val="0"/>
          <w:spacing w:val="20"/>
          <w:w w:val="78"/>
          <w:sz w:val="84"/>
          <w:szCs w:val="84"/>
        </w:rPr>
      </w:pPr>
      <w:r>
        <w:rPr>
          <w:rFonts w:hint="eastAsia" w:eastAsia="宋体"/>
          <w:bCs w:val="0"/>
          <w:color w:val="FF0000"/>
          <w:spacing w:val="7"/>
          <w:w w:val="78"/>
          <w:kern w:val="0"/>
          <w:sz w:val="84"/>
          <w:szCs w:val="84"/>
        </w:rPr>
        <w:t>中共泰州市委教育工作委员会</w:t>
      </w:r>
    </w:p>
    <w:p>
      <w:pPr>
        <w:pStyle w:val="2"/>
        <w:jc w:val="center"/>
        <w:rPr>
          <w:rFonts w:hint="eastAsia" w:ascii="楷体_GB2312" w:eastAsia="楷体_GB2312"/>
          <w:b w:val="0"/>
          <w:bCs w:val="0"/>
        </w:rPr>
      </w:pPr>
      <w:r>
        <w:rPr>
          <w:rFonts w:hint="eastAsia" w:ascii="楷体_GB2312" w:eastAsia="楷体_GB2312"/>
          <w:b w:val="0"/>
          <w:bCs w:val="0"/>
        </w:rPr>
        <w:t>泰委教〔2018〕34号</w:t>
      </w:r>
    </w:p>
    <w:p>
      <w:pPr>
        <w:jc w:val="center"/>
      </w:pP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212725</wp:posOffset>
                </wp:positionV>
                <wp:extent cx="5666740" cy="9525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6740" cy="9525"/>
                          <a:chOff x="7156" y="4178"/>
                          <a:chExt cx="8924" cy="15"/>
                        </a:xfrm>
                      </wpg:grpSpPr>
                      <wps:wsp>
                        <wps:cNvPr id="1" name="直接连接符 1"/>
                        <wps:cNvCnPr/>
                        <wps:spPr>
                          <a:xfrm flipV="1">
                            <a:off x="7156" y="4193"/>
                            <a:ext cx="4181" cy="0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接连接符 2"/>
                        <wps:cNvCnPr/>
                        <wps:spPr>
                          <a:xfrm flipV="1">
                            <a:off x="12090" y="4178"/>
                            <a:ext cx="3991" cy="0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.6pt;margin-top:16.75pt;height:0.75pt;width:446.2pt;z-index:251658240;mso-width-relative:page;mso-height-relative:page;" coordorigin="7156,4178" coordsize="8924,15" o:gfxdata="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OhqI6dkAAAAJAQAADwAAAAAA&#10;AAABACAAAAAiAAAAZHJzL2Rvd25yZXYueG1sUEsBAhQAFAAAAAgAh07iQA4q8OaEAgAA5QYAAA4A&#10;AAAAAAAAAQAgAAAAKAEAAGRycy9lMm9Eb2MueG1sUEsFBgAAAAAGAAYAWQEAAB4GAAAAAA==&#10;">
                <o:lock v:ext="edit" aspectratio="f"/>
                <v:line id="_x0000_s1026" o:spid="_x0000_s1026" o:spt="20" style="position:absolute;left:7156;top:4193;flip:y;height:0;width:4181;" filled="f" stroked="t" coordsize="21600,21600" o:gfxdata="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hE0wftwAAANoAAAAP&#10;AAAAAAAAAAEAIAAAACIAAABkcnMvZG93bnJldi54bWxQSwECFAAUAAAACACHTuJAMy8FnjsAAAA5&#10;AAAAEAAAAAAAAAABACAAAAAGAQAAZHJzL3NoYXBleG1sLnhtbFBLBQYAAAAABgAGAFsBAACwAwAA&#10;AAA=&#10;">
                  <v:fill on="f" focussize="0,0"/>
                  <v:stroke weight="2pt" color="#FF0000" joinstyle="round"/>
                  <v:imagedata o:title=""/>
                  <o:lock v:ext="edit" aspectratio="f"/>
                </v:line>
                <v:line id="_x0000_s1026" o:spid="_x0000_s1026" o:spt="20" style="position:absolute;left:12090;top:4178;flip:y;height:0;width:3991;" filled="f" stroked="t" coordsize="21600,21600" o:gfxdata="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HB0mi5AAAA2gAA&#10;AA8AAAAAAAAAAQAgAAAAIgAAAGRycy9kb3ducmV2LnhtbFBLAQIUABQAAAAIAIdO4kAzLwWeOwAA&#10;ADkAAAAQAAAAAAAAAAEAIAAAAAgBAABkcnMvc2hhcGV4bWwueG1sUEsFBgAAAAAGAAYAWwEAALID&#10;AAAAAA==&#10;">
                  <v:fill on="f" focussize="0,0"/>
                  <v:stroke weight="2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方正大标宋简体" w:hAnsi="方正小标宋简体" w:eastAsia="方正大标宋简体"/>
          <w:color w:val="FF0000"/>
          <w:sz w:val="48"/>
          <w:szCs w:val="48"/>
        </w:rPr>
        <w:t>★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市委教育工委关于开展全市教育系统党建工作创新“金点子”征集活动的通知</w:t>
      </w:r>
    </w:p>
    <w:p>
      <w:pPr>
        <w:adjustRightInd w:val="0"/>
        <w:snapToGrid w:val="0"/>
        <w:spacing w:line="60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各市（区）委教育工委、医药高新区科技教育局党组织，市直各学校党组织、局机关各党支部、泰州市学校党建研究会：</w:t>
      </w:r>
    </w:p>
    <w:p>
      <w:pPr>
        <w:adjustRightIn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为进一步探求组织工作改革创新路径，为高质量发展提供高质量的组织资源供给，根据中共泰州市委组织部《关于开展第二轮党建工作创新“金点子”征集活动的通知》（泰组通</w:t>
      </w:r>
      <w:r>
        <w:rPr>
          <w:rFonts w:hint="eastAsia" w:ascii="仿宋_GB2312" w:eastAsia="仿宋_GB2312"/>
          <w:bCs/>
          <w:sz w:val="32"/>
          <w:szCs w:val="32"/>
        </w:rPr>
        <w:t>〔2018〕61号</w:t>
      </w:r>
      <w:r>
        <w:rPr>
          <w:rFonts w:hint="eastAsia" w:ascii="仿宋_GB2312" w:eastAsia="仿宋_GB2312"/>
          <w:sz w:val="32"/>
          <w:szCs w:val="32"/>
        </w:rPr>
        <w:t>）要求，经研究，决定开展全市教育系统党建工作创新“金点子”征集活动。现就征集工作通知如下：</w:t>
      </w:r>
    </w:p>
    <w:p>
      <w:pPr>
        <w:adjustRightIn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一要精心组织发动。</w:t>
      </w:r>
      <w:r>
        <w:rPr>
          <w:rFonts w:ascii="仿宋_GB2312" w:eastAsia="仿宋_GB2312"/>
          <w:sz w:val="32"/>
          <w:szCs w:val="32"/>
        </w:rPr>
        <w:t>充分认识开展党建工作创新</w:t>
      </w:r>
      <w:r>
        <w:rPr>
          <w:rFonts w:hint="eastAsia" w:ascii="仿宋_GB2312" w:eastAsia="仿宋_GB2312"/>
          <w:sz w:val="32"/>
          <w:szCs w:val="32"/>
        </w:rPr>
        <w:t>“金点子”征集活动，是</w:t>
      </w:r>
      <w:r>
        <w:rPr>
          <w:rFonts w:hint="eastAsia" w:eastAsia="仿宋_GB2312"/>
          <w:sz w:val="32"/>
          <w:szCs w:val="32"/>
        </w:rPr>
        <w:t>推动</w:t>
      </w:r>
      <w:r>
        <w:rPr>
          <w:rFonts w:hint="eastAsia" w:ascii="仿宋_GB2312" w:eastAsia="仿宋_GB2312"/>
          <w:sz w:val="32"/>
          <w:szCs w:val="32"/>
        </w:rPr>
        <w:t>组织工作会议精神在全市教育系统</w:t>
      </w:r>
      <w:r>
        <w:rPr>
          <w:rFonts w:hint="eastAsia" w:eastAsia="仿宋_GB2312"/>
          <w:sz w:val="32"/>
          <w:szCs w:val="32"/>
        </w:rPr>
        <w:t>落地落实</w:t>
      </w:r>
      <w:r>
        <w:rPr>
          <w:rFonts w:hint="eastAsia" w:ascii="仿宋_GB2312" w:eastAsia="仿宋_GB2312"/>
          <w:sz w:val="32"/>
          <w:szCs w:val="32"/>
        </w:rPr>
        <w:t>的有效抓手，是推动组织工作创新发展的前置举措。各地各校要精心组织，运用好各自微信公众号、党员微信群等新媒体平台</w:t>
      </w:r>
      <w:r>
        <w:rPr>
          <w:rFonts w:ascii="仿宋_GB2312" w:eastAsia="仿宋_GB2312"/>
          <w:sz w:val="32"/>
          <w:szCs w:val="32"/>
        </w:rPr>
        <w:t>广泛宣传，</w:t>
      </w:r>
      <w:r>
        <w:rPr>
          <w:rFonts w:hint="eastAsia" w:ascii="仿宋_GB2312" w:eastAsia="仿宋_GB2312"/>
          <w:sz w:val="32"/>
          <w:szCs w:val="32"/>
        </w:rPr>
        <w:t>着力提高活动的知晓率。动员引导市（区）学校党建研究会、各市（区）委教育工委书记、副书记、各校党组织书记、副书记、党办主任，以及机关部门党办主任或人事处长等积极参与，</w:t>
      </w:r>
      <w:r>
        <w:rPr>
          <w:rFonts w:ascii="仿宋_GB2312" w:eastAsia="仿宋_GB2312"/>
          <w:sz w:val="32"/>
          <w:szCs w:val="32"/>
        </w:rPr>
        <w:t>提升征集工作的组织</w:t>
      </w:r>
      <w:r>
        <w:rPr>
          <w:rFonts w:hint="eastAsia" w:ascii="仿宋_GB2312" w:eastAsia="仿宋_GB2312"/>
          <w:sz w:val="32"/>
          <w:szCs w:val="32"/>
        </w:rPr>
        <w:t>化</w:t>
      </w:r>
      <w:r>
        <w:rPr>
          <w:rFonts w:ascii="仿宋_GB2312" w:eastAsia="仿宋_GB2312"/>
          <w:sz w:val="32"/>
          <w:szCs w:val="32"/>
        </w:rPr>
        <w:t>程度。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二要坚持问题导向。</w:t>
      </w:r>
      <w:r>
        <w:rPr>
          <w:rFonts w:hint="eastAsia" w:ascii="仿宋_GB2312" w:eastAsia="仿宋_GB2312"/>
          <w:sz w:val="32"/>
          <w:szCs w:val="32"/>
        </w:rPr>
        <w:t>注重加强对全市组织工作会议上确定的“六个方面”具体任务的研究和拆解，抓住</w:t>
      </w:r>
      <w:r>
        <w:rPr>
          <w:rFonts w:ascii="仿宋_GB2312" w:eastAsia="仿宋_GB2312"/>
          <w:sz w:val="32"/>
          <w:szCs w:val="32"/>
        </w:rPr>
        <w:t>全局中的重点、重点中的关键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关键中的具体</w:t>
      </w:r>
      <w:r>
        <w:rPr>
          <w:rFonts w:hint="eastAsia" w:ascii="仿宋_GB2312" w:eastAsia="仿宋_GB2312"/>
          <w:sz w:val="32"/>
          <w:szCs w:val="32"/>
        </w:rPr>
        <w:t>，明确主攻方向及突破重点。注重调研先行，紧扣时势要求，把握基层实际，通过采取网络调查、问卷调查，以及座谈交流、实地走访等方式，切实找准找实影响任务落实的重难点问题及薄弱环节，为研究对策提供第一手鲜活资料。</w:t>
      </w:r>
    </w:p>
    <w:p>
      <w:pPr>
        <w:adjustRightIn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三要强化梳理分析。</w:t>
      </w:r>
      <w:r>
        <w:rPr>
          <w:rFonts w:hint="eastAsia" w:ascii="仿宋_GB2312" w:eastAsia="仿宋_GB2312"/>
          <w:sz w:val="32"/>
          <w:szCs w:val="32"/>
        </w:rPr>
        <w:t>突出求解性思维，按照“大胆设想、小心求证”的方法，强化对查找出问题的深入分析、深度解构，力求透过问题看本源、透过现象看本质，提出一些务实管用的新招真招实招，坚决杜绝“新瓶装旧酒”“为创新而创新”。各地各校要加强对提出的“金点子”的论证把关，确保提出的建议、对策和解决方案能够精准有效，对实际工作具有一定的启迪意义。</w:t>
      </w:r>
    </w:p>
    <w:p>
      <w:pPr>
        <w:adjustRightInd w:val="0"/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对征集到的“金点子”，我们将认真筛选，择优向市委组织部推介，通过部刊《泰州党建》登载，供全市广大党建工作者参考。</w:t>
      </w:r>
    </w:p>
    <w:p>
      <w:pPr>
        <w:adjustRightInd w:val="0"/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附件：党建工作创新“金点子”征集表</w:t>
      </w:r>
    </w:p>
    <w:p>
      <w:pPr>
        <w:adjustRightInd w:val="0"/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 id="_x0000_s1026" o:spid="_x0000_s1026" o:spt="201" type="#_x0000_t201" style="position:absolute;left:0pt;margin-left:354.75pt;margin-top:132pt;height:125pt;width:125pt;mso-position-horizontal-relative:page;mso-position-vertical-relative:page;z-index:-251655168;mso-width-relative:page;mso-height-relative:page;" o:ole="t" filled="f" o:preferrelative="t" stroked="f" coordsize="21600,21600">
            <v:path/>
            <v:fill on="f" alignshape="1" focussize="0,0"/>
            <v:stroke on="f"/>
            <v:imagedata r:id="rId7" grayscale="f" bilevel="f" o:title=""/>
            <o:lock v:ext="edit" aspectratio="t"/>
          </v:shape>
          <w:control r:id="rId6" w:name="SecSignControl1" w:shapeid="_x0000_s1026"/>
        </w:pict>
      </w:r>
    </w:p>
    <w:p>
      <w:pPr>
        <w:adjustRightInd w:val="0"/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pacing w:line="60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中共泰州市委教育工作委员会</w:t>
      </w:r>
    </w:p>
    <w:p>
      <w:pPr>
        <w:adjustRightIn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</w:t>
      </w:r>
      <w:r>
        <w:rPr>
          <w:rFonts w:hint="eastAsia" w:eastAsia="仿宋_GB2312"/>
          <w:sz w:val="32"/>
          <w:szCs w:val="32"/>
        </w:rPr>
        <w:t xml:space="preserve">          2018年9月27日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600" w:lineRule="exact"/>
        <w:rPr>
          <w:rFonts w:hint="eastAsia" w:ascii="黑体" w:eastAsia="黑体"/>
          <w:bCs/>
          <w:sz w:val="32"/>
          <w:szCs w:val="32"/>
        </w:rPr>
      </w:pPr>
    </w:p>
    <w:p>
      <w:pPr>
        <w:spacing w:line="600" w:lineRule="exact"/>
        <w:rPr>
          <w:rFonts w:hint="eastAsia" w:ascii="黑体" w:eastAsia="黑体"/>
          <w:bCs/>
          <w:sz w:val="32"/>
          <w:szCs w:val="32"/>
        </w:rPr>
      </w:pPr>
    </w:p>
    <w:p>
      <w:pPr>
        <w:spacing w:line="600" w:lineRule="exact"/>
        <w:rPr>
          <w:rFonts w:hint="eastAsia" w:ascii="黑体" w:eastAsia="黑体"/>
          <w:bCs/>
          <w:sz w:val="32"/>
          <w:szCs w:val="32"/>
        </w:rPr>
      </w:pPr>
    </w:p>
    <w:p>
      <w:pPr>
        <w:spacing w:line="600" w:lineRule="exact"/>
        <w:rPr>
          <w:rFonts w:hint="eastAsia" w:ascii="黑体" w:eastAsia="黑体"/>
          <w:bCs/>
          <w:sz w:val="32"/>
          <w:szCs w:val="32"/>
        </w:rPr>
      </w:pPr>
    </w:p>
    <w:p>
      <w:pPr>
        <w:spacing w:line="600" w:lineRule="exact"/>
        <w:rPr>
          <w:rFonts w:hint="eastAsia" w:ascii="黑体" w:eastAsia="黑体"/>
          <w:bCs/>
          <w:sz w:val="32"/>
          <w:szCs w:val="32"/>
        </w:rPr>
      </w:pPr>
    </w:p>
    <w:p>
      <w:pPr>
        <w:spacing w:line="600" w:lineRule="exact"/>
        <w:rPr>
          <w:rFonts w:hint="eastAsia" w:ascii="黑体" w:eastAsia="黑体"/>
          <w:bCs/>
          <w:sz w:val="32"/>
          <w:szCs w:val="32"/>
        </w:rPr>
      </w:pPr>
    </w:p>
    <w:p>
      <w:pPr>
        <w:spacing w:line="600" w:lineRule="exact"/>
        <w:rPr>
          <w:rFonts w:hint="eastAsia" w:ascii="黑体" w:eastAsia="黑体"/>
          <w:bCs/>
          <w:sz w:val="32"/>
          <w:szCs w:val="32"/>
        </w:rPr>
      </w:pPr>
    </w:p>
    <w:p>
      <w:pPr>
        <w:spacing w:line="600" w:lineRule="exact"/>
        <w:rPr>
          <w:rFonts w:hint="eastAsia" w:ascii="黑体" w:eastAsia="黑体"/>
          <w:bCs/>
          <w:sz w:val="32"/>
          <w:szCs w:val="32"/>
        </w:rPr>
      </w:pPr>
    </w:p>
    <w:p>
      <w:pPr>
        <w:spacing w:line="600" w:lineRule="exact"/>
        <w:rPr>
          <w:rFonts w:hint="eastAsia" w:ascii="黑体" w:eastAsia="黑体"/>
          <w:bCs/>
          <w:sz w:val="32"/>
          <w:szCs w:val="32"/>
        </w:rPr>
      </w:pPr>
    </w:p>
    <w:p>
      <w:pPr>
        <w:spacing w:line="600" w:lineRule="exact"/>
        <w:rPr>
          <w:rFonts w:hint="eastAsia" w:ascii="黑体" w:eastAsia="黑体"/>
          <w:bCs/>
          <w:sz w:val="32"/>
          <w:szCs w:val="32"/>
        </w:rPr>
      </w:pPr>
    </w:p>
    <w:p>
      <w:pPr>
        <w:spacing w:line="600" w:lineRule="exact"/>
        <w:rPr>
          <w:rFonts w:hint="eastAsia" w:ascii="黑体" w:eastAsia="黑体"/>
          <w:bCs/>
          <w:sz w:val="32"/>
          <w:szCs w:val="32"/>
        </w:rPr>
      </w:pPr>
    </w:p>
    <w:p>
      <w:pPr>
        <w:spacing w:line="600" w:lineRule="exact"/>
        <w:rPr>
          <w:rFonts w:hint="eastAsia" w:ascii="黑体" w:eastAsia="黑体"/>
          <w:bCs/>
          <w:sz w:val="32"/>
          <w:szCs w:val="32"/>
        </w:rPr>
      </w:pPr>
      <w:bookmarkStart w:id="0" w:name="_GoBack"/>
      <w:bookmarkEnd w:id="0"/>
    </w:p>
    <w:p>
      <w:pPr>
        <w:spacing w:line="600" w:lineRule="exact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eastAsia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eastAsia="方正小标宋简体"/>
          <w:snapToGrid w:val="0"/>
          <w:kern w:val="0"/>
          <w:sz w:val="44"/>
          <w:szCs w:val="44"/>
        </w:rPr>
        <w:t>党建工作创新“金点子”征集表</w:t>
      </w:r>
    </w:p>
    <w:p>
      <w:pPr>
        <w:spacing w:line="600" w:lineRule="exact"/>
        <w:jc w:val="center"/>
        <w:rPr>
          <w:rFonts w:hint="eastAsia" w:ascii="方正大标宋简体" w:eastAsia="方正大标宋简体"/>
          <w:bCs/>
          <w:sz w:val="44"/>
          <w:szCs w:val="44"/>
        </w:rPr>
      </w:pPr>
    </w:p>
    <w:tbl>
      <w:tblPr>
        <w:tblStyle w:val="7"/>
        <w:tblW w:w="90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2211"/>
        <w:gridCol w:w="2386"/>
        <w:gridCol w:w="2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7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    名</w:t>
            </w:r>
          </w:p>
        </w:tc>
        <w:tc>
          <w:tcPr>
            <w:tcW w:w="221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工作单位及职务</w:t>
            </w:r>
          </w:p>
        </w:tc>
        <w:tc>
          <w:tcPr>
            <w:tcW w:w="26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7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221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电子信箱</w:t>
            </w:r>
          </w:p>
        </w:tc>
        <w:tc>
          <w:tcPr>
            <w:tcW w:w="26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</w:trPr>
        <w:tc>
          <w:tcPr>
            <w:tcW w:w="17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“金点子”</w:t>
            </w:r>
          </w:p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名    称</w:t>
            </w:r>
          </w:p>
        </w:tc>
        <w:tc>
          <w:tcPr>
            <w:tcW w:w="7295" w:type="dxa"/>
            <w:gridSpan w:val="3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</w:trPr>
        <w:tc>
          <w:tcPr>
            <w:tcW w:w="17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着力破解</w:t>
            </w:r>
          </w:p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的 问 题</w:t>
            </w:r>
          </w:p>
        </w:tc>
        <w:tc>
          <w:tcPr>
            <w:tcW w:w="7295" w:type="dxa"/>
            <w:gridSpan w:val="3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2" w:hRule="atLeast"/>
        </w:trPr>
        <w:tc>
          <w:tcPr>
            <w:tcW w:w="1771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创</w:t>
            </w:r>
          </w:p>
          <w:p>
            <w:pPr>
              <w:spacing w:line="58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意</w:t>
            </w:r>
          </w:p>
          <w:p>
            <w:pPr>
              <w:spacing w:line="58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说</w:t>
            </w:r>
          </w:p>
          <w:p>
            <w:pPr>
              <w:spacing w:line="58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明</w:t>
            </w:r>
          </w:p>
        </w:tc>
        <w:tc>
          <w:tcPr>
            <w:tcW w:w="7295" w:type="dxa"/>
            <w:gridSpan w:val="3"/>
            <w:vAlign w:val="center"/>
          </w:tcPr>
          <w:p>
            <w:pPr>
              <w:spacing w:line="280" w:lineRule="exact"/>
              <w:ind w:left="-2535" w:leftChars="-1207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（一般不少于200字）</w:t>
            </w: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sectPr>
          <w:headerReference r:id="rId3" w:type="default"/>
          <w:footerReference r:id="rId4" w:type="default"/>
          <w:pgSz w:w="11906" w:h="16838"/>
          <w:pgMar w:top="2098" w:right="1474" w:bottom="1985" w:left="1588" w:header="851" w:footer="1247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210" w:leftChars="100" w:right="210" w:rightChars="100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4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10217"/>
    <w:rsid w:val="4CB1021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2018-10-22T01:04:00Z</dcterms:created>
  <dc:creator>萌宝爸</dc:creator>
  <cp:lastModifiedBy>萌宝爸</cp:lastModifiedBy>
  <dcterms:modified xsi:type="dcterms:W3CDTF">2018-10-22T01:04:42Z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